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before="100" w:beforeAutospacing="1" w:after="100" w:afterAutospacing="1" w:line="0" w:lineRule="atLeast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widowControl/>
        <w:snapToGrid w:val="0"/>
        <w:spacing w:before="100" w:beforeAutospacing="1" w:after="100" w:afterAutospacing="1" w:line="0" w:lineRule="atLeast"/>
        <w:jc w:val="center"/>
        <w:outlineLvl w:val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b/>
          <w:sz w:val="44"/>
          <w:szCs w:val="44"/>
        </w:rPr>
        <w:t>化学化工学院“</w:t>
      </w:r>
      <w:r>
        <w:rPr>
          <w:rFonts w:hint="eastAsia" w:ascii="仿宋" w:hAnsi="仿宋" w:eastAsia="仿宋"/>
          <w:b/>
          <w:sz w:val="44"/>
          <w:szCs w:val="44"/>
          <w:lang w:eastAsia="zh-CN"/>
        </w:rPr>
        <w:t>德继奖学金</w:t>
      </w:r>
      <w:r>
        <w:rPr>
          <w:rFonts w:hint="eastAsia" w:ascii="仿宋" w:hAnsi="仿宋" w:eastAsia="仿宋"/>
          <w:b/>
          <w:sz w:val="44"/>
          <w:szCs w:val="44"/>
        </w:rPr>
        <w:t>”</w:t>
      </w:r>
      <w:r>
        <w:rPr>
          <w:rFonts w:hint="eastAsia" w:ascii="仿宋" w:hAnsi="仿宋" w:eastAsia="仿宋"/>
          <w:b/>
          <w:sz w:val="44"/>
          <w:szCs w:val="44"/>
          <w:lang w:eastAsia="zh-CN"/>
        </w:rPr>
        <w:t>本科生</w:t>
      </w:r>
      <w:r>
        <w:rPr>
          <w:rFonts w:hint="eastAsia" w:ascii="仿宋" w:hAnsi="仿宋" w:eastAsia="仿宋"/>
          <w:b/>
          <w:sz w:val="44"/>
          <w:szCs w:val="44"/>
        </w:rPr>
        <w:t>评选评分细则</w:t>
      </w:r>
    </w:p>
    <w:p>
      <w:pPr>
        <w:widowControl/>
        <w:spacing w:line="480" w:lineRule="exact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一、根据班级综合素质测评总排名进行计算，具体方式如下：</w:t>
      </w:r>
    </w:p>
    <w:p>
      <w:pPr>
        <w:widowControl/>
        <w:spacing w:line="480" w:lineRule="exact"/>
        <w:ind w:firstLine="600" w:firstLineChars="20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1.测评基数为50人。第一名计70分，第二名计69.5分，以此类推。</w:t>
      </w:r>
    </w:p>
    <w:p>
      <w:pPr>
        <w:widowControl/>
        <w:spacing w:line="480" w:lineRule="exact"/>
        <w:ind w:firstLine="600" w:firstLineChars="20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2.测评基数每增加</w:t>
      </w:r>
      <w:r>
        <w:rPr>
          <w:rFonts w:ascii="仿宋" w:hAnsi="仿宋" w:eastAsia="仿宋"/>
          <w:sz w:val="30"/>
          <w:szCs w:val="30"/>
        </w:rPr>
        <w:t>5</w:t>
      </w:r>
      <w:r>
        <w:rPr>
          <w:rFonts w:hint="eastAsia" w:ascii="仿宋" w:hAnsi="仿宋" w:eastAsia="仿宋"/>
          <w:sz w:val="30"/>
          <w:szCs w:val="30"/>
        </w:rPr>
        <w:t>人（5人以下忽略不计）在“1”的得分基础上加</w:t>
      </w:r>
      <w:r>
        <w:rPr>
          <w:rFonts w:ascii="仿宋" w:hAnsi="仿宋" w:eastAsia="仿宋"/>
          <w:sz w:val="30"/>
          <w:szCs w:val="30"/>
        </w:rPr>
        <w:t>0.5</w:t>
      </w:r>
      <w:r>
        <w:rPr>
          <w:rFonts w:hint="eastAsia" w:ascii="仿宋" w:hAnsi="仿宋" w:eastAsia="仿宋"/>
          <w:sz w:val="30"/>
          <w:szCs w:val="30"/>
        </w:rPr>
        <w:t>分。如：</w:t>
      </w:r>
      <w:r>
        <w:rPr>
          <w:rFonts w:ascii="仿宋" w:hAnsi="仿宋" w:eastAsia="仿宋"/>
          <w:sz w:val="30"/>
          <w:szCs w:val="30"/>
        </w:rPr>
        <w:t>1/55</w:t>
      </w:r>
      <w:r>
        <w:rPr>
          <w:rFonts w:hint="eastAsia" w:ascii="仿宋" w:hAnsi="仿宋" w:eastAsia="仿宋"/>
          <w:sz w:val="30"/>
          <w:szCs w:val="30"/>
        </w:rPr>
        <w:t>，计7</w:t>
      </w:r>
      <w:r>
        <w:rPr>
          <w:rFonts w:ascii="仿宋" w:hAnsi="仿宋" w:eastAsia="仿宋"/>
          <w:sz w:val="30"/>
          <w:szCs w:val="30"/>
        </w:rPr>
        <w:t>0.5</w:t>
      </w:r>
      <w:r>
        <w:rPr>
          <w:rFonts w:hint="eastAsia" w:ascii="仿宋" w:hAnsi="仿宋" w:eastAsia="仿宋"/>
          <w:sz w:val="30"/>
          <w:szCs w:val="30"/>
        </w:rPr>
        <w:t>分；1/60，计71分，以此类推。测评基数每减少5人（5人以下忽略不计）在“1”的得分基础上减</w:t>
      </w:r>
      <w:r>
        <w:rPr>
          <w:rFonts w:ascii="仿宋" w:hAnsi="仿宋" w:eastAsia="仿宋"/>
          <w:sz w:val="30"/>
          <w:szCs w:val="30"/>
        </w:rPr>
        <w:t>0.5</w:t>
      </w:r>
      <w:r>
        <w:rPr>
          <w:rFonts w:hint="eastAsia" w:ascii="仿宋" w:hAnsi="仿宋" w:eastAsia="仿宋"/>
          <w:sz w:val="30"/>
          <w:szCs w:val="30"/>
        </w:rPr>
        <w:t>分。如：</w:t>
      </w:r>
      <w:r>
        <w:rPr>
          <w:rFonts w:ascii="仿宋" w:hAnsi="仿宋" w:eastAsia="仿宋"/>
          <w:sz w:val="30"/>
          <w:szCs w:val="30"/>
        </w:rPr>
        <w:t>1/4</w:t>
      </w:r>
      <w:r>
        <w:rPr>
          <w:rFonts w:hint="eastAsia" w:ascii="仿宋" w:hAnsi="仿宋" w:eastAsia="仿宋"/>
          <w:sz w:val="30"/>
          <w:szCs w:val="30"/>
        </w:rPr>
        <w:t>5，计6</w:t>
      </w:r>
      <w:r>
        <w:rPr>
          <w:rFonts w:ascii="仿宋" w:hAnsi="仿宋" w:eastAsia="仿宋"/>
          <w:sz w:val="30"/>
          <w:szCs w:val="30"/>
        </w:rPr>
        <w:t>9.5</w:t>
      </w:r>
      <w:r>
        <w:rPr>
          <w:rFonts w:hint="eastAsia" w:ascii="仿宋" w:hAnsi="仿宋" w:eastAsia="仿宋"/>
          <w:sz w:val="30"/>
          <w:szCs w:val="30"/>
        </w:rPr>
        <w:t>分；1/40，计69分，以此类推。</w:t>
      </w:r>
    </w:p>
    <w:p>
      <w:pPr>
        <w:widowControl/>
        <w:spacing w:line="480" w:lineRule="exact"/>
        <w:ind w:firstLine="600" w:firstLineChars="20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3.综合素质排名以</w:t>
      </w:r>
      <w:r>
        <w:rPr>
          <w:rFonts w:hint="eastAsia" w:ascii="仿宋" w:hAnsi="仿宋" w:eastAsia="仿宋"/>
          <w:sz w:val="30"/>
          <w:szCs w:val="30"/>
          <w:lang w:eastAsia="zh-CN"/>
        </w:rPr>
        <w:t>上一</w:t>
      </w:r>
      <w:r>
        <w:rPr>
          <w:rFonts w:hint="eastAsia" w:ascii="仿宋" w:hAnsi="仿宋" w:eastAsia="仿宋"/>
          <w:sz w:val="30"/>
          <w:szCs w:val="30"/>
        </w:rPr>
        <w:t>学年的排名为准。</w:t>
      </w:r>
      <w:r>
        <w:rPr>
          <w:rFonts w:ascii="仿宋" w:hAnsi="仿宋" w:eastAsia="仿宋"/>
          <w:sz w:val="30"/>
          <w:szCs w:val="30"/>
        </w:rPr>
        <w:t xml:space="preserve"> </w:t>
      </w:r>
    </w:p>
    <w:p>
      <w:pPr>
        <w:widowControl/>
        <w:spacing w:line="480" w:lineRule="exact"/>
        <w:ind w:firstLine="600" w:firstLineChars="20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4.加减总分均不超过5分。</w:t>
      </w:r>
    </w:p>
    <w:p>
      <w:pPr>
        <w:widowControl/>
        <w:spacing w:line="480" w:lineRule="exact"/>
        <w:ind w:firstLine="600" w:firstLineChars="20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二、获奖（最高加</w:t>
      </w:r>
      <w:r>
        <w:rPr>
          <w:rFonts w:ascii="仿宋" w:hAnsi="仿宋" w:eastAsia="仿宋"/>
          <w:sz w:val="30"/>
          <w:szCs w:val="30"/>
        </w:rPr>
        <w:t>10</w:t>
      </w:r>
      <w:r>
        <w:rPr>
          <w:rFonts w:hint="eastAsia" w:ascii="仿宋" w:hAnsi="仿宋" w:eastAsia="仿宋"/>
          <w:sz w:val="30"/>
          <w:szCs w:val="30"/>
        </w:rPr>
        <w:t>分）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2"/>
        <w:gridCol w:w="1766"/>
        <w:gridCol w:w="1513"/>
        <w:gridCol w:w="1200"/>
        <w:gridCol w:w="132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exact"/>
          <w:jc w:val="center"/>
        </w:trPr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等次</w:t>
            </w:r>
          </w:p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级别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一等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二等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三等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其他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国家级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10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6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省</w:t>
            </w:r>
            <w:r>
              <w:rPr>
                <w:rFonts w:ascii="仿宋" w:hAnsi="仿宋" w:eastAsia="仿宋"/>
                <w:sz w:val="30"/>
                <w:szCs w:val="30"/>
              </w:rPr>
              <w:tab/>
            </w:r>
            <w:r>
              <w:rPr>
                <w:rFonts w:hint="eastAsia" w:ascii="仿宋" w:hAnsi="仿宋" w:eastAsia="仿宋"/>
                <w:sz w:val="30"/>
                <w:szCs w:val="30"/>
              </w:rPr>
              <w:t>级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4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2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center"/>
              <w:outlineLvl w:val="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1</w:t>
            </w:r>
          </w:p>
        </w:tc>
      </w:tr>
    </w:tbl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附：说明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1.未分等次的奖励按照相应级别的二等加分。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2.获奖认定以证书原件为准。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3.2人及2人以上共同获奖的，署名第一的按相应等次加分，署名第二的在相应等次基础上减0.5分，以此类推，最低加0.5分。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4.行业、协会主办的赛事按照相应级别减半加分。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5.国家奖学金、国家励志奖学金是业绩条件之一，但不加分。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6.参加活动、赛事获得入围奖、参与奖、好评等不加分。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7.一个活动、项目或赛事获得多个荣誉的就高一次加分。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8.获奖证书的认定以在校期间为限。</w:t>
      </w:r>
      <w:r>
        <w:rPr>
          <w:rFonts w:ascii="仿宋" w:hAnsi="仿宋" w:eastAsia="仿宋"/>
          <w:sz w:val="30"/>
          <w:szCs w:val="30"/>
        </w:rPr>
        <w:t xml:space="preserve"> </w:t>
      </w:r>
    </w:p>
    <w:p>
      <w:pPr>
        <w:widowControl/>
        <w:spacing w:line="480" w:lineRule="exact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三、发表论文，完成课题，发明创造等（最高加</w:t>
      </w:r>
      <w:r>
        <w:rPr>
          <w:rFonts w:ascii="仿宋" w:hAnsi="仿宋" w:eastAsia="仿宋"/>
          <w:sz w:val="30"/>
          <w:szCs w:val="30"/>
        </w:rPr>
        <w:t>10</w:t>
      </w:r>
      <w:r>
        <w:rPr>
          <w:rFonts w:hint="eastAsia" w:ascii="仿宋" w:hAnsi="仿宋" w:eastAsia="仿宋"/>
          <w:sz w:val="30"/>
          <w:szCs w:val="30"/>
        </w:rPr>
        <w:t>分）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1.文章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（1）在</w:t>
      </w:r>
      <w:r>
        <w:rPr>
          <w:rFonts w:ascii="仿宋" w:hAnsi="仿宋" w:eastAsia="仿宋"/>
          <w:sz w:val="30"/>
          <w:szCs w:val="30"/>
        </w:rPr>
        <w:t>A</w:t>
      </w:r>
      <w:r>
        <w:rPr>
          <w:rFonts w:hint="eastAsia" w:ascii="仿宋" w:hAnsi="仿宋" w:eastAsia="仿宋"/>
          <w:sz w:val="30"/>
          <w:szCs w:val="30"/>
        </w:rPr>
        <w:t>类刊物上发表论文的加</w:t>
      </w:r>
      <w:r>
        <w:rPr>
          <w:rFonts w:ascii="仿宋" w:hAnsi="仿宋" w:eastAsia="仿宋"/>
          <w:sz w:val="30"/>
          <w:szCs w:val="30"/>
        </w:rPr>
        <w:t>10</w:t>
      </w:r>
      <w:r>
        <w:rPr>
          <w:rFonts w:hint="eastAsia" w:ascii="仿宋" w:hAnsi="仿宋" w:eastAsia="仿宋"/>
          <w:sz w:val="30"/>
          <w:szCs w:val="30"/>
        </w:rPr>
        <w:t>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（2）在</w:t>
      </w:r>
      <w:r>
        <w:rPr>
          <w:rFonts w:ascii="仿宋" w:hAnsi="仿宋" w:eastAsia="仿宋"/>
          <w:sz w:val="30"/>
          <w:szCs w:val="30"/>
        </w:rPr>
        <w:t>B</w:t>
      </w:r>
      <w:r>
        <w:rPr>
          <w:rFonts w:hint="eastAsia" w:ascii="仿宋" w:hAnsi="仿宋" w:eastAsia="仿宋"/>
          <w:sz w:val="30"/>
          <w:szCs w:val="30"/>
        </w:rPr>
        <w:t>类刊物上发表论文的加6分。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（3）在</w:t>
      </w:r>
      <w:r>
        <w:rPr>
          <w:rFonts w:ascii="仿宋" w:hAnsi="仿宋" w:eastAsia="仿宋"/>
          <w:sz w:val="30"/>
          <w:szCs w:val="30"/>
        </w:rPr>
        <w:t>C</w:t>
      </w:r>
      <w:r>
        <w:rPr>
          <w:rFonts w:hint="eastAsia" w:ascii="仿宋" w:hAnsi="仿宋" w:eastAsia="仿宋"/>
          <w:sz w:val="30"/>
          <w:szCs w:val="30"/>
        </w:rPr>
        <w:t>类刊物上发表论文的加4分。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（4）在</w:t>
      </w:r>
      <w:r>
        <w:rPr>
          <w:rFonts w:ascii="仿宋" w:hAnsi="仿宋" w:eastAsia="仿宋"/>
          <w:sz w:val="30"/>
          <w:szCs w:val="30"/>
        </w:rPr>
        <w:t>D</w:t>
      </w:r>
      <w:r>
        <w:rPr>
          <w:rFonts w:hint="eastAsia" w:ascii="仿宋" w:hAnsi="仿宋" w:eastAsia="仿宋"/>
          <w:sz w:val="30"/>
          <w:szCs w:val="30"/>
        </w:rPr>
        <w:t>类刊物上发表论文的加1分。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（5）各类刊物的划分参照《江西师范大学科研工作量计算办法（试行）》（校发〔</w:t>
      </w:r>
      <w:r>
        <w:rPr>
          <w:rFonts w:ascii="仿宋" w:hAnsi="仿宋" w:eastAsia="仿宋"/>
          <w:sz w:val="30"/>
          <w:szCs w:val="30"/>
        </w:rPr>
        <w:t>2012</w:t>
      </w:r>
      <w:r>
        <w:rPr>
          <w:rFonts w:hint="eastAsia" w:ascii="仿宋" w:hAnsi="仿宋" w:eastAsia="仿宋"/>
          <w:sz w:val="30"/>
          <w:szCs w:val="30"/>
        </w:rPr>
        <w:t>〕</w:t>
      </w:r>
      <w:r>
        <w:rPr>
          <w:rFonts w:ascii="仿宋" w:hAnsi="仿宋" w:eastAsia="仿宋"/>
          <w:sz w:val="30"/>
          <w:szCs w:val="30"/>
        </w:rPr>
        <w:t>33</w:t>
      </w:r>
      <w:r>
        <w:rPr>
          <w:rFonts w:hint="eastAsia" w:ascii="仿宋" w:hAnsi="仿宋" w:eastAsia="仿宋"/>
          <w:sz w:val="30"/>
          <w:szCs w:val="30"/>
        </w:rPr>
        <w:t>号）执行。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2.完成课题（须已结题）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（1）国家级课题参照获奖表格中国家级二等加分。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（2）省级课题参照获奖表格中省级二等加分。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3.发明创造</w:t>
      </w:r>
      <w:r>
        <w:rPr>
          <w:rFonts w:ascii="仿宋" w:hAnsi="仿宋" w:eastAsia="仿宋"/>
          <w:sz w:val="30"/>
          <w:szCs w:val="30"/>
        </w:rPr>
        <w:t xml:space="preserve"> 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科研成果或科研产品，须经</w:t>
      </w:r>
      <w:r>
        <w:rPr>
          <w:rFonts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</w:rPr>
        <w:t>名以上相关专家、教授推荐并通过学校科技处、社科处审定，可参照国家级或省级相应标准加分。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4.说明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（1）以学生提供的原件为准。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（2）由</w:t>
      </w:r>
      <w:r>
        <w:rPr>
          <w:rFonts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</w:rPr>
        <w:t>人及</w:t>
      </w:r>
      <w:r>
        <w:rPr>
          <w:rFonts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</w:rPr>
        <w:t>人以上共同完成一项成果的，署名第一按相应等次加分，署名第二的在相应等次基础上减0.5分，以此类推，最低加0.5分。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（3）以在校期间的为准。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（4）同一项目就高一次加分。</w:t>
      </w:r>
    </w:p>
    <w:p>
      <w:pPr>
        <w:widowControl/>
        <w:spacing w:line="480" w:lineRule="exact"/>
        <w:ind w:firstLine="450" w:firstLineChars="150"/>
        <w:outlineLvl w:val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（5）行业、协会主办的各类赛事按照相应级别减半加分。</w:t>
      </w:r>
      <w:r>
        <w:rPr>
          <w:rFonts w:ascii="仿宋" w:hAnsi="仿宋" w:eastAsia="仿宋"/>
          <w:sz w:val="30"/>
          <w:szCs w:val="30"/>
        </w:rPr>
        <w:t xml:space="preserve"> 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四、学生干部任职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）校学生团工委书记、校学生会主席团执行主席、校社团联合会执行主席、校青年志愿者协会理事长、校青年信息中心主任、校素质拓展中心主任、校（院）党员服务站站长、学院学生团委副书记、学院学生会执行主席、各班班长、团支书，加5分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（2）其他学生干部（不含寝室长、小组长），加3分。</w:t>
      </w:r>
    </w:p>
    <w:p>
      <w:pPr>
        <w:widowControl/>
        <w:spacing w:line="480" w:lineRule="exact"/>
        <w:ind w:firstLine="450" w:firstLineChars="150"/>
        <w:outlineLvl w:val="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（3）学生干部须在评选年度连续任职满一年，并且表现良好。</w:t>
      </w:r>
    </w:p>
    <w:p>
      <w:pPr>
        <w:widowControl/>
        <w:spacing w:line="480" w:lineRule="exact"/>
        <w:ind w:firstLine="450" w:firstLineChars="150"/>
        <w:outlineLvl w:val="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（4）任职就最高一次加分，以供职单位出具的证明或聘书为准</w:t>
      </w:r>
    </w:p>
    <w:p>
      <w:pPr>
        <w:widowControl/>
        <w:spacing w:line="480" w:lineRule="exact"/>
        <w:outlineLvl w:val="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五、外语水平</w:t>
      </w:r>
    </w:p>
    <w:p>
      <w:pPr>
        <w:widowControl/>
        <w:spacing w:line="480" w:lineRule="exact"/>
        <w:outlineLvl w:val="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（1）通过全国大学生英语四级考试加3分，全国大学生英语六级考试加5分。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zOWNlMjU3OWI3ZmJhZmNlMGUzM2VjNDY2YjBlOGIifQ=="/>
  </w:docVars>
  <w:rsids>
    <w:rsidRoot w:val="55E401DD"/>
    <w:rsid w:val="013F74D2"/>
    <w:rsid w:val="445B46B2"/>
    <w:rsid w:val="55E401DD"/>
    <w:rsid w:val="73EE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1090</Words>
  <Characters>1152</Characters>
  <Lines>0</Lines>
  <Paragraphs>0</Paragraphs>
  <TotalTime>12</TotalTime>
  <ScaleCrop>false</ScaleCrop>
  <LinksUpToDate>false</LinksUpToDate>
  <CharactersWithSpaces>1160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2020-10-15T04:14:00Z</dcterms:created>
  <dc:creator>南湘日落。</dc:creator>
  <cp:lastModifiedBy>Administrator</cp:lastModifiedBy>
  <cp:lastPrinted>2023-03-16T03:29:19Z</cp:lastPrinted>
  <dcterms:modified xsi:type="dcterms:W3CDTF">2023-03-16T03:29:30Z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25EEF22966604C32A53643ACDC612896</vt:lpwstr>
  </property>
</Properties>
</file>